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1760" w:hanging="1760" w:hangingChars="40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洛单30</w:t>
      </w:r>
    </w:p>
    <w:bookmarkEnd w:id="0"/>
    <w:p>
      <w:pPr>
        <w:spacing w:line="560" w:lineRule="exact"/>
        <w:ind w:firstLine="642" w:firstLineChars="200"/>
        <w:jc w:val="left"/>
        <w:rPr>
          <w:rStyle w:val="19"/>
          <w:rFonts w:ascii="仿宋" w:hAnsi="仿宋" w:eastAsia="仿宋"/>
          <w:b/>
          <w:sz w:val="32"/>
        </w:rPr>
      </w:pPr>
    </w:p>
    <w:p>
      <w:pPr>
        <w:spacing w:line="560" w:lineRule="exact"/>
        <w:ind w:firstLine="642" w:firstLineChars="200"/>
        <w:jc w:val="left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Style w:val="19"/>
          <w:rFonts w:ascii="仿宋" w:hAnsi="仿宋" w:eastAsia="仿宋"/>
          <w:b/>
          <w:sz w:val="32"/>
        </w:rPr>
        <w:t>审定编号：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豫审玉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20210045</w:t>
      </w:r>
    </w:p>
    <w:p>
      <w:pPr>
        <w:spacing w:line="560" w:lineRule="exact"/>
        <w:ind w:firstLine="642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品种来源：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L5837-1×L5723-1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特征特性：</w:t>
      </w:r>
      <w:r>
        <w:rPr>
          <w:rFonts w:hint="eastAsia" w:ascii="仿宋" w:hAnsi="仿宋" w:eastAsia="仿宋" w:cs="仿宋"/>
          <w:sz w:val="32"/>
          <w:szCs w:val="32"/>
        </w:rPr>
        <w:t>夏播生育期102.5天；芽鞘浅紫色，叶片绿色，第一叶尖端圆形；主茎叶片数18-21片，株型紧凑，株高265.0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，穗位高114.0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，雄穗分支10个，雄穗颖片绿色，花药黄色，花丝浅紫色；果穗柱形，穗长17.5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，穗粗5.0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</w:rPr>
        <w:t>，穗行数15.4-18.0行，行粒数36.2粒，秃尖长0.4cm；穗轴红色，籽粒黄色，半马齿型，千粒重310.7</w:t>
      </w:r>
      <w:r>
        <w:rPr>
          <w:rFonts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z w:val="32"/>
          <w:szCs w:val="32"/>
        </w:rPr>
        <w:t>，出籽率84.3%，平均田间倒折率1.1%，倒伏率0.1%，空杆率0.8%，双穗率0.5%。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抗性鉴定：</w:t>
      </w:r>
      <w:r>
        <w:rPr>
          <w:rFonts w:hint="eastAsia" w:ascii="仿宋" w:hAnsi="仿宋" w:eastAsia="仿宋" w:cs="仿宋"/>
          <w:sz w:val="32"/>
          <w:szCs w:val="32"/>
        </w:rPr>
        <w:t>2018—2019年河南农业大学植物保护学院两年综合接种鉴定结果：高感南方锈病，瘤黑粉病；中抗镰孢穗腐病、弯孢叶斑病，小斑病；感茎腐病。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品质分析：</w:t>
      </w:r>
      <w:r>
        <w:rPr>
          <w:rFonts w:hint="eastAsia" w:ascii="仿宋" w:hAnsi="仿宋" w:eastAsia="仿宋" w:cs="仿宋"/>
          <w:sz w:val="32"/>
          <w:szCs w:val="32"/>
        </w:rPr>
        <w:t>2018年农业部农产品质量监督检验测试中心（郑州）检测：容重784g/L，粗蛋白质9.46%，粗脂肪3.9%，赖氨酸0.32%，粗淀粉73.27%。2019年农业部农产品质量监督检验测试中心（郑州）检测：容重782g/L，粗蛋白质9.40%，粗脂肪4.1%，赖氨酸0.32%，粗淀粉74.50%。</w:t>
      </w:r>
    </w:p>
    <w:p>
      <w:pPr>
        <w:spacing w:line="50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产量表现：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2018年河南省中原农科联合体玉米区域试验（5000株/亩），10点汇总，10点增产，增产点率100%，平均亩产668.85kg，比对照郑单958增产5.88%，差异极显著；2019年续试，11点汇总，8点增产，3点减产，增产点率72.7%，平均亩产771.41kg，比对照郑单958增产3.05%，差异极显著。</w:t>
      </w:r>
      <w:r>
        <w:rPr>
          <w:rFonts w:hint="eastAsia" w:ascii="仿宋" w:hAnsi="仿宋" w:eastAsia="仿宋" w:cs="仿宋"/>
          <w:sz w:val="32"/>
          <w:szCs w:val="32"/>
        </w:rPr>
        <w:t>2020年河南省中原农科联合体玉米生产试验，11点汇总，10点增产，增产点率90.9%，平均亩产681.92kg，比对照郑单958增产4.64%。</w:t>
      </w:r>
    </w:p>
    <w:p>
      <w:pPr>
        <w:widowControl/>
        <w:adjustRightInd w:val="0"/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栽培技术要点：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(1)播期与密度：河南省夏播，6月25前直播，</w:t>
      </w:r>
      <w:r>
        <w:rPr>
          <w:rStyle w:val="19"/>
          <w:rFonts w:ascii="仿宋" w:hAnsi="仿宋" w:eastAsia="仿宋"/>
          <w:kern w:val="0"/>
          <w:sz w:val="32"/>
          <w:szCs w:val="32"/>
        </w:rPr>
        <w:t>中等水肥地4</w:t>
      </w:r>
      <w:r>
        <w:rPr>
          <w:rStyle w:val="19"/>
          <w:rFonts w:hint="eastAsia" w:ascii="仿宋" w:hAnsi="仿宋" w:eastAsia="仿宋"/>
          <w:kern w:val="0"/>
          <w:sz w:val="32"/>
          <w:szCs w:val="32"/>
        </w:rPr>
        <w:t>5</w:t>
      </w:r>
      <w:r>
        <w:rPr>
          <w:rStyle w:val="19"/>
          <w:rFonts w:ascii="仿宋" w:hAnsi="仿宋" w:eastAsia="仿宋"/>
          <w:kern w:val="0"/>
          <w:sz w:val="32"/>
          <w:szCs w:val="32"/>
        </w:rPr>
        <w:t>00株/亩，高水肥地不超过</w:t>
      </w:r>
      <w:r>
        <w:rPr>
          <w:rStyle w:val="19"/>
          <w:rFonts w:hint="eastAsia" w:ascii="仿宋" w:hAnsi="仿宋" w:eastAsia="仿宋"/>
          <w:kern w:val="0"/>
          <w:sz w:val="32"/>
          <w:szCs w:val="32"/>
        </w:rPr>
        <w:t>5000</w:t>
      </w:r>
      <w:r>
        <w:rPr>
          <w:rStyle w:val="19"/>
          <w:rFonts w:ascii="仿宋" w:hAnsi="仿宋" w:eastAsia="仿宋"/>
          <w:kern w:val="0"/>
          <w:sz w:val="32"/>
          <w:szCs w:val="32"/>
        </w:rPr>
        <w:t>株/亩。</w:t>
      </w:r>
      <w:r>
        <w:rPr>
          <w:rFonts w:hint="eastAsia" w:ascii="仿宋" w:hAnsi="仿宋" w:eastAsia="仿宋" w:cs="宋体"/>
          <w:kern w:val="0"/>
          <w:sz w:val="32"/>
          <w:szCs w:val="32"/>
        </w:rPr>
        <w:t>(2)田间管理：科学施肥，浇好拔节水、孕穗水和灌浆水；苗期注意防治蓟马、蚜虫、地老虎；大喇叭口期防治玉米螟虫。(3)适时收获：玉米籽粒乳线消失或籽粒尖端出现黑色层时收获。</w:t>
      </w:r>
    </w:p>
    <w:p>
      <w:pPr>
        <w:spacing w:line="500" w:lineRule="exact"/>
        <w:ind w:firstLine="64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审定意见：</w:t>
      </w:r>
      <w:r>
        <w:rPr>
          <w:rFonts w:hint="eastAsia" w:ascii="仿宋" w:hAnsi="仿宋" w:eastAsia="仿宋" w:cs="仿宋"/>
          <w:bCs/>
          <w:sz w:val="32"/>
          <w:szCs w:val="32"/>
        </w:rPr>
        <w:t>该品种符合河南省玉米品种审定标准，同意审定。适宜在河南省夏播区种植，注意防治</w:t>
      </w:r>
      <w:r>
        <w:rPr>
          <w:rFonts w:hint="eastAsia" w:ascii="仿宋" w:hAnsi="仿宋" w:eastAsia="仿宋" w:cs="仿宋"/>
          <w:sz w:val="32"/>
          <w:szCs w:val="32"/>
        </w:rPr>
        <w:t>南方锈病和瘤黑粉病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0"/>
        <w:jc w:val="both"/>
        <w:rPr>
          <w:rStyle w:val="19"/>
          <w:rFonts w:ascii="仿宋" w:hAnsi="仿宋" w:eastAsia="仿宋"/>
          <w:sz w:val="32"/>
        </w:rPr>
      </w:pPr>
      <w:r>
        <w:rPr>
          <w:rStyle w:val="19"/>
          <w:rFonts w:ascii="仿宋" w:hAnsi="仿宋" w:eastAsia="仿宋"/>
          <w:sz w:val="32"/>
        </w:rPr>
        <w:t xml:space="preserve">   </w:t>
      </w:r>
    </w:p>
    <w:p>
      <w:pPr>
        <w:snapToGrid w:val="0"/>
        <w:spacing w:line="500" w:lineRule="exact"/>
        <w:ind w:firstLine="422"/>
        <w:rPr>
          <w:rStyle w:val="19"/>
          <w:rFonts w:ascii="仿宋" w:hAnsi="仿宋" w:eastAsia="仿宋"/>
          <w:sz w:val="32"/>
        </w:rPr>
      </w:pPr>
    </w:p>
    <w:p>
      <w:pPr>
        <w:snapToGrid w:val="0"/>
        <w:spacing w:line="500" w:lineRule="exact"/>
        <w:ind w:firstLine="422"/>
        <w:rPr>
          <w:rStyle w:val="19"/>
          <w:rFonts w:ascii="仿宋" w:hAnsi="仿宋" w:eastAsia="仿宋"/>
          <w:sz w:val="32"/>
        </w:rPr>
      </w:pPr>
    </w:p>
    <w:p>
      <w:pPr>
        <w:spacing w:line="500" w:lineRule="exact"/>
        <w:ind w:firstLine="420"/>
        <w:rPr>
          <w:rStyle w:val="19"/>
          <w:rFonts w:ascii="仿宋" w:hAnsi="仿宋" w:eastAsia="仿宋"/>
          <w:sz w:val="32"/>
        </w:rPr>
      </w:pPr>
    </w:p>
    <w:p>
      <w:pPr>
        <w:snapToGrid w:val="0"/>
        <w:spacing w:line="500" w:lineRule="exact"/>
        <w:ind w:firstLine="420"/>
        <w:rPr>
          <w:rStyle w:val="19"/>
          <w:rFonts w:ascii="仿宋" w:hAnsi="仿宋" w:eastAsia="仿宋"/>
          <w:sz w:val="32"/>
        </w:rPr>
      </w:pPr>
    </w:p>
    <w:sectPr>
      <w:pgSz w:w="11906" w:h="16838"/>
      <w:pgMar w:top="1247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38"/>
    <w:rsid w:val="000F3AB8"/>
    <w:rsid w:val="0053252F"/>
    <w:rsid w:val="00D12B90"/>
    <w:rsid w:val="00D31BA9"/>
    <w:rsid w:val="00E10C38"/>
    <w:rsid w:val="3BFF2E07"/>
    <w:rsid w:val="4A19A317"/>
    <w:rsid w:val="5FE7A2B0"/>
    <w:rsid w:val="6FDF36DE"/>
    <w:rsid w:val="76FE2D0D"/>
    <w:rsid w:val="7DFF9923"/>
    <w:rsid w:val="7FFFD16B"/>
    <w:rsid w:val="F63F246F"/>
    <w:rsid w:val="F6778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32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next w:val="1"/>
    <w:qFormat/>
    <w:uiPriority w:val="0"/>
    <w:pPr>
      <w:spacing w:after="60"/>
      <w:ind w:left="1024"/>
      <w:jc w:val="center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firstLine="0"/>
      <w:textAlignment w:val="auto"/>
    </w:pPr>
    <w:rPr>
      <w:rFonts w:ascii="Calibri" w:hAnsi="Calibri" w:eastAsia="宋体"/>
      <w:sz w:val="24"/>
      <w:szCs w:val="24"/>
    </w:rPr>
  </w:style>
  <w:style w:type="character" w:styleId="8">
    <w:name w:val="Strong"/>
    <w:qFormat/>
    <w:uiPriority w:val="0"/>
    <w:rPr>
      <w:b/>
      <w:sz w:val="21"/>
    </w:rPr>
  </w:style>
  <w:style w:type="character" w:styleId="9">
    <w:name w:val="Emphasis"/>
    <w:qFormat/>
    <w:uiPriority w:val="0"/>
    <w:rPr>
      <w:i/>
      <w:sz w:val="21"/>
    </w:rPr>
  </w:style>
  <w:style w:type="paragraph" w:customStyle="1" w:styleId="10">
    <w:name w:val="Heading1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1">
    <w:name w:val="Heading2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2">
    <w:name w:val="Heading3"/>
    <w:next w:val="1"/>
    <w:qFormat/>
    <w:uiPriority w:val="0"/>
    <w:pPr>
      <w:spacing w:after="160"/>
      <w:ind w:left="1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3">
    <w:name w:val="Heading4"/>
    <w:next w:val="1"/>
    <w:qFormat/>
    <w:uiPriority w:val="0"/>
    <w:pPr>
      <w:spacing w:after="160"/>
      <w:ind w:left="16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4">
    <w:name w:val="Heading5"/>
    <w:next w:val="1"/>
    <w:qFormat/>
    <w:uiPriority w:val="0"/>
    <w:pPr>
      <w:spacing w:after="160"/>
      <w:ind w:left="18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5">
    <w:name w:val="Heading6"/>
    <w:next w:val="1"/>
    <w:qFormat/>
    <w:uiPriority w:val="0"/>
    <w:pPr>
      <w:spacing w:after="160"/>
      <w:ind w:left="20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6">
    <w:name w:val="Heading7"/>
    <w:next w:val="1"/>
    <w:qFormat/>
    <w:uiPriority w:val="0"/>
    <w:pPr>
      <w:spacing w:after="160"/>
      <w:ind w:left="22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7">
    <w:name w:val="Heading8"/>
    <w:next w:val="1"/>
    <w:qFormat/>
    <w:uiPriority w:val="0"/>
    <w:pPr>
      <w:spacing w:after="160"/>
      <w:ind w:left="2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8">
    <w:name w:val="Heading9"/>
    <w:next w:val="1"/>
    <w:qFormat/>
    <w:uiPriority w:val="0"/>
    <w:pPr>
      <w:spacing w:after="160"/>
      <w:ind w:left="26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customStyle="1" w:styleId="19">
    <w:name w:val="NormalCharacter"/>
    <w:semiHidden/>
    <w:qFormat/>
    <w:uiPriority w:val="0"/>
    <w:rPr>
      <w:sz w:val="20"/>
    </w:rPr>
  </w:style>
  <w:style w:type="table" w:customStyle="1" w:styleId="2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260"/>
    <w:qFormat/>
    <w:uiPriority w:val="0"/>
    <w:rPr>
      <w:i/>
      <w:color w:val="404040"/>
      <w:sz w:val="21"/>
    </w:rPr>
  </w:style>
  <w:style w:type="character" w:customStyle="1" w:styleId="22">
    <w:name w:val="261"/>
    <w:qFormat/>
    <w:uiPriority w:val="0"/>
    <w:rPr>
      <w:i/>
      <w:color w:val="5B9BD5"/>
      <w:sz w:val="21"/>
    </w:rPr>
  </w:style>
  <w:style w:type="paragraph" w:customStyle="1" w:styleId="23">
    <w:name w:val="180"/>
    <w:next w:val="1"/>
    <w:qFormat/>
    <w:uiPriority w:val="0"/>
    <w:pPr>
      <w:spacing w:before="200" w:after="160"/>
      <w:ind w:left="3680" w:right="864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paragraph" w:customStyle="1" w:styleId="24">
    <w:name w:val="181"/>
    <w:next w:val="1"/>
    <w:qFormat/>
    <w:uiPriority w:val="0"/>
    <w:pPr>
      <w:spacing w:before="360" w:after="360"/>
      <w:ind w:left="3766" w:right="950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character" w:customStyle="1" w:styleId="25">
    <w:name w:val="262"/>
    <w:qFormat/>
    <w:uiPriority w:val="0"/>
    <w:rPr>
      <w:color w:val="5A5A5A"/>
      <w:sz w:val="21"/>
    </w:rPr>
  </w:style>
  <w:style w:type="character" w:customStyle="1" w:styleId="26">
    <w:name w:val="263"/>
    <w:qFormat/>
    <w:uiPriority w:val="0"/>
    <w:rPr>
      <w:b/>
      <w:color w:val="5B9BD5"/>
      <w:sz w:val="21"/>
    </w:rPr>
  </w:style>
  <w:style w:type="character" w:customStyle="1" w:styleId="27">
    <w:name w:val="264"/>
    <w:qFormat/>
    <w:uiPriority w:val="0"/>
    <w:rPr>
      <w:b/>
      <w:i/>
      <w:sz w:val="21"/>
    </w:rPr>
  </w:style>
  <w:style w:type="paragraph" w:customStyle="1" w:styleId="28">
    <w:name w:val="179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29">
    <w:name w:val="266"/>
    <w:next w:val="1"/>
    <w:qFormat/>
    <w:uiPriority w:val="0"/>
    <w:pPr>
      <w:ind w:left="2560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0">
    <w:name w:val="TOC2"/>
    <w:next w:val="1"/>
    <w:qFormat/>
    <w:uiPriority w:val="0"/>
    <w:pPr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1">
    <w:name w:val="TOC3"/>
    <w:next w:val="1"/>
    <w:qFormat/>
    <w:uiPriority w:val="0"/>
    <w:pPr>
      <w:ind w:left="119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2">
    <w:name w:val="TOC4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3">
    <w:name w:val="TOC5"/>
    <w:next w:val="1"/>
    <w:qFormat/>
    <w:uiPriority w:val="0"/>
    <w:pPr>
      <w:ind w:left="1275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4">
    <w:name w:val="TOC6"/>
    <w:next w:val="1"/>
    <w:qFormat/>
    <w:uiPriority w:val="0"/>
    <w:pPr>
      <w:ind w:left="1188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5">
    <w:name w:val="TOC7"/>
    <w:next w:val="1"/>
    <w:qFormat/>
    <w:uiPriority w:val="0"/>
    <w:pPr>
      <w:ind w:left="1101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6">
    <w:name w:val="TOC8"/>
    <w:next w:val="1"/>
    <w:qFormat/>
    <w:uiPriority w:val="0"/>
    <w:pPr>
      <w:ind w:left="127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7">
    <w:name w:val="TOC9"/>
    <w:next w:val="1"/>
    <w:qFormat/>
    <w:uiPriority w:val="0"/>
    <w:pPr>
      <w:ind w:left="118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8">
    <w:name w:val="NormalIndent"/>
    <w:next w:val="1"/>
    <w:qFormat/>
    <w:uiPriority w:val="0"/>
    <w:pPr>
      <w:ind w:left="109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9">
    <w:name w:val="Header"/>
    <w:basedOn w:val="1"/>
    <w:next w:val="4"/>
    <w:qFormat/>
    <w:uiPriority w:val="0"/>
    <w:pPr>
      <w:jc w:val="center"/>
    </w:pPr>
  </w:style>
  <w:style w:type="character" w:customStyle="1" w:styleId="40">
    <w:name w:val="UserStyle_0"/>
    <w:basedOn w:val="19"/>
    <w:qFormat/>
    <w:uiPriority w:val="0"/>
    <w:rPr>
      <w:sz w:val="20"/>
    </w:rPr>
  </w:style>
  <w:style w:type="paragraph" w:customStyle="1" w:styleId="41">
    <w:name w:val="Footer"/>
    <w:basedOn w:val="1"/>
    <w:qFormat/>
    <w:uiPriority w:val="0"/>
  </w:style>
  <w:style w:type="character" w:customStyle="1" w:styleId="42">
    <w:name w:val="UserStyle_1"/>
    <w:basedOn w:val="19"/>
    <w:qFormat/>
    <w:uiPriority w:val="0"/>
    <w:rPr>
      <w:sz w:val="20"/>
    </w:rPr>
  </w:style>
  <w:style w:type="character" w:customStyle="1" w:styleId="43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45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</Words>
  <Characters>2251</Characters>
  <Lines>18</Lines>
  <Paragraphs>5</Paragraphs>
  <TotalTime>23</TotalTime>
  <ScaleCrop>false</ScaleCrop>
  <LinksUpToDate>false</LinksUpToDate>
  <CharactersWithSpaces>2640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2021-04-04T09:15:00Z</dcterms:created>
  <dc:creator>Administrator</dc:creator>
  <cp:lastModifiedBy>greatwall</cp:lastModifiedBy>
  <dcterms:modified xsi:type="dcterms:W3CDTF">2021-11-30T15:58:04Z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