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E28F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超软籽</w:t>
      </w:r>
      <w:r>
        <w:rPr>
          <w:rFonts w:hint="eastAsia" w:ascii="宋体" w:hAnsi="宋体" w:eastAsia="宋体" w:cs="宋体"/>
          <w:sz w:val="44"/>
          <w:szCs w:val="44"/>
        </w:rPr>
        <w:t>石榴新品种‘洛石榴1号’</w:t>
      </w:r>
    </w:p>
    <w:p w14:paraId="1099AC0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color w:val="314643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 w:val="0"/>
          <w:bCs/>
          <w:color w:val="314643"/>
          <w:sz w:val="32"/>
          <w:szCs w:val="32"/>
          <w:shd w:val="clear" w:color="auto" w:fill="FFFFFF"/>
        </w:rPr>
        <w:t>品种来源</w:t>
      </w:r>
    </w:p>
    <w:p w14:paraId="41D2FF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/>
        <w:textAlignment w:val="auto"/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‘洛石榴1号’是洛阳市农林科学院最新选育，具有自主知识产权的丰产、优质、耐储存的软籽石榴。经过洛阳市新安县、南阳市淅川县、三门峡市区试试验，母本为‘突尼斯’，父本不详。</w:t>
      </w:r>
    </w:p>
    <w:p w14:paraId="71CF254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黑体" w:hAnsi="黑体" w:eastAsia="黑体" w:cs="黑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参试情况</w:t>
      </w:r>
    </w:p>
    <w:p w14:paraId="18F79B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/>
        <w:textAlignment w:val="auto"/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已在3个具有生态差异的地方进行区试：2018—2020年于新安区域试验园参试1142株，占地15亩。2018—2020年于三门峡区域试验园参试1248株，占地15亩。2017年冬—2020年于淅川区域试验园参试1500株，占地18亩。均以“突尼斯”软籽石榴为对照。于2024年12月通过河南省林木品种审定委员会审定，良种编号：豫 S-SV-PG-006-2024。</w:t>
      </w:r>
    </w:p>
    <w:p w14:paraId="159823E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产量表现</w:t>
      </w:r>
    </w:p>
    <w:p w14:paraId="2468C8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/>
        <w:textAlignment w:val="auto"/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三个区试地点第二年平均单株结果 20 个，第三年平均单株结果 30 个，第三年或第四年进入盛果期，连续四年平均亩产量 1500kg 以上（产量均高于突尼斯石榴12%左右）。</w:t>
      </w:r>
    </w:p>
    <w:p w14:paraId="05C5AAD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品种特性</w:t>
      </w:r>
    </w:p>
    <w:p w14:paraId="1E895F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/>
        <w:textAlignment w:val="auto"/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1、树势</w:t>
      </w: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饱满旺盛。‘洛石榴1号’软籽石榴树体中等，树势旺，树姿开张，树冠半圆形。</w:t>
      </w:r>
    </w:p>
    <w:p w14:paraId="399B4F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/>
        <w:textAlignment w:val="auto"/>
        <w:rPr>
          <w:rFonts w:hint="default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籽极软、粒大、味甜，性状稳定一致</w:t>
      </w:r>
      <w:r>
        <w:rPr>
          <w:rFonts w:hint="default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。核</w:t>
      </w: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极软（籽粒硬度=1.35kg/cm</w:t>
      </w: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vertAlign w:val="superscript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，‘突尼斯’籽粒 硬度=1.73kg/cm</w:t>
      </w: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vertAlign w:val="superscript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），嚼后无残渣</w:t>
      </w:r>
      <w:r>
        <w:rPr>
          <w:rFonts w:hint="default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果个大（单果均重510g），籽粒较大，百粒重55.0g</w:t>
      </w:r>
      <w:r>
        <w:rPr>
          <w:rFonts w:hint="default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果面光洁黄红色，果形指数0.86，近圆形</w:t>
      </w:r>
      <w:r>
        <w:rPr>
          <w:rFonts w:hint="default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‘突尼斯’果形指数 0.96，椭圆形），可溶性固形物含量超过16%（‘突尼斯’为15%左右）</w:t>
      </w:r>
      <w:r>
        <w:rPr>
          <w:rFonts w:hint="default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。</w:t>
      </w:r>
    </w:p>
    <w:p w14:paraId="7F5407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/>
        <w:textAlignment w:val="auto"/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3、丰产、抗寒、耐储藏。</w:t>
      </w: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坐果率高，连续结果能力强，丰产性强;抗寒性较‘突尼斯’强。果品储藏期长</w:t>
      </w:r>
      <w:r>
        <w:rPr>
          <w:rFonts w:hint="default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可储藏至春节前。</w:t>
      </w:r>
    </w:p>
    <w:p w14:paraId="0364A0F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一致性和稳定性</w:t>
      </w:r>
    </w:p>
    <w:p w14:paraId="5D3D85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/>
        <w:textAlignment w:val="auto"/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石榴是无性系嫁接或扦插繁殖，上述特异性状在测试嫁接或扦插株系之间表现一致。经过多年多地连续观测，‘洛石榴1号’不同个体间植物学特性、果实经济性状均表现一致，在相关指南与标准的接受范围内。</w:t>
      </w:r>
    </w:p>
    <w:p w14:paraId="506A7A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/>
        <w:textAlignment w:val="auto"/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经过连续多年多地对‘洛石榴1号’的观察，与对照品种相比，消除区域环境和不同年份气候差异，‘洛石榴1号’植物学性状、生长结果性状和果实品质均表现良好的稳定。</w:t>
      </w:r>
    </w:p>
    <w:p w14:paraId="2EA7859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主要用途</w:t>
      </w:r>
    </w:p>
    <w:p w14:paraId="051D9A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/>
        <w:textAlignment w:val="auto"/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可以解决软籽石榴</w:t>
      </w: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eastAsia="zh-CN"/>
        </w:rPr>
        <w:t>主栽区‘</w:t>
      </w: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t>突尼斯</w:t>
      </w:r>
      <w:r>
        <w:rPr>
          <w:rFonts w:hint="eastAsia" w:ascii="仿宋_GB2312" w:hAnsi="仿宋_GB2312" w:eastAsia="仿宋_GB2312" w:cs="仿宋_GB2312"/>
          <w:b w:val="0"/>
          <w:bCs/>
          <w:color w:val="314643"/>
          <w:sz w:val="32"/>
          <w:szCs w:val="32"/>
          <w:shd w:val="clear" w:color="auto" w:fill="FFFFFF"/>
          <w:lang w:eastAsia="zh-CN"/>
        </w:rPr>
        <w:t>’品种退化，品质下降，种植效益低下的情况，提高种植效益，丰富种植品种。</w:t>
      </w:r>
    </w:p>
    <w:p w14:paraId="29AE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/>
        <w:jc w:val="center"/>
        <w:textAlignment w:val="auto"/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1054735</wp:posOffset>
            </wp:positionV>
            <wp:extent cx="2453005" cy="1828800"/>
            <wp:effectExtent l="0" t="0" r="4445" b="0"/>
            <wp:wrapTopAndBottom/>
            <wp:docPr id="5" name="图片 5" descr="微信截图_2025071809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507180911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100965</wp:posOffset>
            </wp:positionV>
            <wp:extent cx="2481580" cy="3122295"/>
            <wp:effectExtent l="0" t="0" r="13970" b="190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t>图1 ‘洛石榴1号’结果树</w:t>
      </w:r>
    </w:p>
    <w:p w14:paraId="2EC65752">
      <w:pPr>
        <w:numPr>
          <w:ilvl w:val="0"/>
          <w:numId w:val="0"/>
        </w:numPr>
        <w:spacing w:line="520" w:lineRule="exact"/>
        <w:jc w:val="both"/>
        <w:rPr>
          <w:rFonts w:hint="eastAsia" w:ascii="楷体" w:hAnsi="楷体" w:eastAsia="楷体" w:cs="楷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</w:p>
    <w:p w14:paraId="2D9745FE">
      <w:pPr>
        <w:numPr>
          <w:ilvl w:val="0"/>
          <w:numId w:val="0"/>
        </w:numPr>
        <w:spacing w:line="520" w:lineRule="exact"/>
        <w:jc w:val="both"/>
        <w:rPr>
          <w:rFonts w:hint="default" w:ascii="楷体" w:hAnsi="楷体" w:eastAsia="楷体" w:cs="楷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106680</wp:posOffset>
            </wp:positionV>
            <wp:extent cx="1901825" cy="2468880"/>
            <wp:effectExtent l="0" t="0" r="3175" b="762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137160</wp:posOffset>
            </wp:positionV>
            <wp:extent cx="2070100" cy="2453640"/>
            <wp:effectExtent l="0" t="0" r="6350" b="381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6F4E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/>
        <w:jc w:val="center"/>
        <w:textAlignment w:val="auto"/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t>图2 完全成熟的‘突尼斯’与‘洛石榴1号’果实（右为‘洛石榴1号’）</w:t>
      </w:r>
    </w:p>
    <w:p w14:paraId="7E2147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/>
        <w:jc w:val="center"/>
        <w:textAlignment w:val="auto"/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181610</wp:posOffset>
            </wp:positionV>
            <wp:extent cx="1421765" cy="1894840"/>
            <wp:effectExtent l="0" t="0" r="6985" b="10160"/>
            <wp:wrapTopAndBottom/>
            <wp:docPr id="17" name="图片 17" descr="微信图片_20250721104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7211049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2176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149225</wp:posOffset>
            </wp:positionV>
            <wp:extent cx="1487170" cy="1983105"/>
            <wp:effectExtent l="0" t="0" r="17780" b="17145"/>
            <wp:wrapTopAndBottom/>
            <wp:docPr id="12" name="图片 12" descr="微信图片_2025072110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7211048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t>图3 ‘洛石榴1号’果实及果汁</w:t>
      </w:r>
    </w:p>
    <w:p w14:paraId="6DE69827">
      <w:pPr>
        <w:numPr>
          <w:ilvl w:val="0"/>
          <w:numId w:val="0"/>
        </w:numPr>
        <w:spacing w:line="520" w:lineRule="exact"/>
        <w:ind w:firstLine="521"/>
        <w:rPr>
          <w:rFonts w:hint="default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3101340</wp:posOffset>
            </wp:positionV>
            <wp:extent cx="3880485" cy="2909570"/>
            <wp:effectExtent l="0" t="0" r="5715" b="508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39370</wp:posOffset>
            </wp:positionV>
            <wp:extent cx="4001770" cy="2540000"/>
            <wp:effectExtent l="0" t="0" r="17780" b="1270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E619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/>
        <w:jc w:val="center"/>
        <w:textAlignment w:val="auto"/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t xml:space="preserve">图4 </w:t>
      </w:r>
      <w:r>
        <w:rPr>
          <w:rFonts w:hint="default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t>‘洛石榴1号’与‘突尼斯’</w:t>
      </w: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t>对比（左为‘洛石榴1号’）</w:t>
      </w:r>
    </w:p>
    <w:p w14:paraId="334F08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/>
        <w:jc w:val="center"/>
        <w:textAlignment w:val="auto"/>
        <w:rPr>
          <w:rFonts w:hint="default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816610</wp:posOffset>
            </wp:positionH>
            <wp:positionV relativeFrom="paragraph">
              <wp:posOffset>161925</wp:posOffset>
            </wp:positionV>
            <wp:extent cx="3457575" cy="2217420"/>
            <wp:effectExtent l="0" t="0" r="9525" b="1143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b="1443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t>图5 ‘突尼斯’与‘洛石榴1号’对比</w:t>
      </w:r>
    </w:p>
    <w:p w14:paraId="2E37D0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/>
        <w:jc w:val="center"/>
        <w:textAlignment w:val="auto"/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175260</wp:posOffset>
            </wp:positionV>
            <wp:extent cx="5269865" cy="2934335"/>
            <wp:effectExtent l="0" t="0" r="6985" b="1841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t>图6 经过-10°气温后‘突尼斯’与‘洛石榴1号’生长势对比（新安）（左为‘突尼斯’石榴）</w:t>
      </w:r>
    </w:p>
    <w:p w14:paraId="12FD1D7C">
      <w:pPr>
        <w:numPr>
          <w:ilvl w:val="0"/>
          <w:numId w:val="0"/>
        </w:numPr>
        <w:spacing w:line="520" w:lineRule="exact"/>
        <w:ind w:firstLine="521"/>
        <w:jc w:val="center"/>
        <w:rPr>
          <w:rFonts w:hint="default" w:ascii="楷体" w:hAnsi="楷体" w:eastAsia="楷体" w:cs="楷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133350</wp:posOffset>
            </wp:positionV>
            <wp:extent cx="5270500" cy="1537970"/>
            <wp:effectExtent l="0" t="0" r="6350" b="5080"/>
            <wp:wrapTopAndBottom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2639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/>
        <w:jc w:val="center"/>
        <w:textAlignment w:val="auto"/>
        <w:rPr>
          <w:rFonts w:hint="default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</w:pPr>
    </w:p>
    <w:p w14:paraId="7FB945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/>
        <w:jc w:val="center"/>
        <w:textAlignment w:val="auto"/>
        <w:rPr>
          <w:rFonts w:hint="default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t>表1‘洛石榴1号’与‘突尼斯’</w:t>
      </w: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1631315</wp:posOffset>
            </wp:positionV>
            <wp:extent cx="5271135" cy="1543685"/>
            <wp:effectExtent l="0" t="0" r="5715" b="18415"/>
            <wp:wrapTopAndBottom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-26670</wp:posOffset>
            </wp:positionV>
            <wp:extent cx="5273040" cy="1736090"/>
            <wp:effectExtent l="0" t="0" r="3810" b="16510"/>
            <wp:wrapTopAndBottom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t>产量对比</w:t>
      </w:r>
    </w:p>
    <w:tbl>
      <w:tblPr>
        <w:tblStyle w:val="3"/>
        <w:tblpPr w:leftFromText="180" w:rightFromText="180" w:vertAnchor="text" w:horzAnchor="page" w:tblpX="1248" w:tblpY="520"/>
        <w:tblOverlap w:val="never"/>
        <w:tblW w:w="889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4"/>
        <w:gridCol w:w="769"/>
        <w:gridCol w:w="780"/>
        <w:gridCol w:w="495"/>
        <w:gridCol w:w="443"/>
        <w:gridCol w:w="495"/>
        <w:gridCol w:w="822"/>
        <w:gridCol w:w="1044"/>
        <w:gridCol w:w="1486"/>
        <w:gridCol w:w="1128"/>
        <w:gridCol w:w="569"/>
      </w:tblGrid>
      <w:tr w14:paraId="397915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2" w:hRule="atLeast"/>
        </w:trPr>
        <w:tc>
          <w:tcPr>
            <w:tcW w:w="86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45B7EBF8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21"/>
                <w:szCs w:val="21"/>
              </w:rPr>
              <w:t>品种</w:t>
            </w:r>
          </w:p>
        </w:tc>
        <w:tc>
          <w:tcPr>
            <w:tcW w:w="76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347474B2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1"/>
                <w:szCs w:val="21"/>
              </w:rPr>
              <w:t>成熟期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pacing w:val="-5"/>
                <w:sz w:val="21"/>
                <w:szCs w:val="21"/>
              </w:rPr>
              <w:t>(月-</w:t>
            </w:r>
            <w:r>
              <w:rPr>
                <w:rFonts w:hint="eastAsia" w:ascii="仿宋_GB2312" w:hAnsi="仿宋_GB2312" w:eastAsia="仿宋_GB2312" w:cs="仿宋_GB2312"/>
                <w:spacing w:val="-35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5"/>
                <w:sz w:val="21"/>
                <w:szCs w:val="21"/>
              </w:rPr>
              <w:t>日)</w:t>
            </w:r>
          </w:p>
        </w:tc>
        <w:tc>
          <w:tcPr>
            <w:tcW w:w="78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69ACA016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1"/>
                <w:szCs w:val="21"/>
              </w:rPr>
              <w:t>单果重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pacing w:val="13"/>
                <w:sz w:val="21"/>
                <w:szCs w:val="21"/>
              </w:rPr>
              <w:t>(</w:t>
            </w:r>
            <w:r>
              <w:rPr>
                <w:rFonts w:hint="eastAsia" w:ascii="仿宋_GB2312" w:hAnsi="仿宋_GB2312" w:eastAsia="仿宋_GB2312" w:cs="仿宋_GB2312"/>
                <w:spacing w:val="13"/>
                <w:sz w:val="21"/>
                <w:szCs w:val="21"/>
                <w:lang w:eastAsia="zh-CN"/>
              </w:rPr>
              <w:t>g</w:t>
            </w:r>
            <w:r>
              <w:rPr>
                <w:rFonts w:hint="eastAsia" w:ascii="仿宋_GB2312" w:hAnsi="仿宋_GB2312" w:eastAsia="仿宋_GB2312" w:cs="仿宋_GB2312"/>
                <w:spacing w:val="13"/>
                <w:sz w:val="21"/>
                <w:szCs w:val="21"/>
              </w:rPr>
              <w:t>)</w:t>
            </w:r>
          </w:p>
        </w:tc>
        <w:tc>
          <w:tcPr>
            <w:tcW w:w="49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1B80B880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1"/>
                <w:szCs w:val="21"/>
              </w:rPr>
              <w:t>形状</w:t>
            </w:r>
          </w:p>
        </w:tc>
        <w:tc>
          <w:tcPr>
            <w:tcW w:w="44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13B80DE6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1"/>
                <w:szCs w:val="21"/>
              </w:rPr>
              <w:t>皮色</w:t>
            </w:r>
          </w:p>
        </w:tc>
        <w:tc>
          <w:tcPr>
            <w:tcW w:w="49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657924C2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4"/>
                <w:sz w:val="21"/>
                <w:szCs w:val="21"/>
              </w:rPr>
              <w:t>皮厚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8"/>
                <w:sz w:val="21"/>
                <w:szCs w:val="21"/>
              </w:rPr>
              <w:t>(</w:t>
            </w:r>
            <w:r>
              <w:rPr>
                <w:rFonts w:hint="eastAsia" w:ascii="仿宋_GB2312" w:hAnsi="仿宋_GB2312" w:eastAsia="仿宋_GB2312" w:cs="仿宋_GB2312"/>
                <w:spacing w:val="-8"/>
                <w:sz w:val="21"/>
                <w:szCs w:val="21"/>
                <w:lang w:eastAsia="zh-CN"/>
              </w:rPr>
              <w:t>m</w:t>
            </w:r>
            <w:r>
              <w:rPr>
                <w:rFonts w:hint="eastAsia" w:ascii="仿宋_GB2312" w:hAnsi="仿宋_GB2312" w:eastAsia="仿宋_GB2312" w:cs="仿宋_GB2312"/>
                <w:spacing w:val="-8"/>
                <w:sz w:val="21"/>
                <w:szCs w:val="21"/>
              </w:rPr>
              <w:t>m)</w:t>
            </w:r>
          </w:p>
        </w:tc>
        <w:tc>
          <w:tcPr>
            <w:tcW w:w="82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46C42F67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1"/>
                <w:szCs w:val="21"/>
              </w:rPr>
              <w:t>百粒重</w:t>
            </w:r>
            <w:r>
              <w:rPr>
                <w:rFonts w:hint="eastAsia" w:ascii="仿宋_GB2312" w:hAnsi="仿宋_GB2312" w:eastAsia="仿宋_GB2312" w:cs="仿宋_GB2312"/>
                <w:spacing w:val="1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3"/>
                <w:sz w:val="21"/>
                <w:szCs w:val="21"/>
              </w:rPr>
              <w:t>(</w:t>
            </w:r>
            <w:r>
              <w:rPr>
                <w:rFonts w:hint="eastAsia" w:ascii="仿宋_GB2312" w:hAnsi="仿宋_GB2312" w:eastAsia="仿宋_GB2312" w:cs="仿宋_GB2312"/>
                <w:spacing w:val="13"/>
                <w:sz w:val="21"/>
                <w:szCs w:val="21"/>
                <w:lang w:eastAsia="zh-CN"/>
              </w:rPr>
              <w:t>g</w:t>
            </w:r>
            <w:r>
              <w:rPr>
                <w:rFonts w:hint="eastAsia" w:ascii="仿宋_GB2312" w:hAnsi="仿宋_GB2312" w:eastAsia="仿宋_GB2312" w:cs="仿宋_GB2312"/>
                <w:spacing w:val="13"/>
                <w:sz w:val="21"/>
                <w:szCs w:val="21"/>
              </w:rPr>
              <w:t>)</w:t>
            </w:r>
          </w:p>
        </w:tc>
        <w:tc>
          <w:tcPr>
            <w:tcW w:w="104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2AB345F4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1"/>
                <w:szCs w:val="21"/>
              </w:rPr>
              <w:t xml:space="preserve">核仁硬度 </w:t>
            </w:r>
            <w:r>
              <w:rPr>
                <w:rFonts w:hint="eastAsia" w:ascii="仿宋_GB2312" w:hAnsi="仿宋_GB2312" w:eastAsia="仿宋_GB2312" w:cs="仿宋_GB2312"/>
                <w:spacing w:val="-5"/>
                <w:sz w:val="21"/>
                <w:szCs w:val="21"/>
              </w:rPr>
              <w:t>(</w:t>
            </w:r>
            <w:r>
              <w:rPr>
                <w:rFonts w:hint="eastAsia" w:ascii="仿宋_GB2312" w:hAnsi="仿宋_GB2312" w:eastAsia="仿宋_GB2312" w:cs="仿宋_GB2312"/>
                <w:spacing w:val="-8"/>
                <w:sz w:val="21"/>
                <w:szCs w:val="21"/>
                <w:lang w:val="en-US" w:eastAsia="zh-CN"/>
              </w:rPr>
              <w:t>kg</w:t>
            </w:r>
            <w:r>
              <w:rPr>
                <w:rFonts w:hint="eastAsia" w:ascii="仿宋_GB2312" w:hAnsi="仿宋_GB2312" w:eastAsia="仿宋_GB2312" w:cs="仿宋_GB2312"/>
                <w:spacing w:val="-8"/>
                <w:sz w:val="21"/>
                <w:szCs w:val="21"/>
                <w:lang w:eastAsia="zh-CN"/>
              </w:rPr>
              <w:t>/</w:t>
            </w:r>
            <w:r>
              <w:rPr>
                <w:rFonts w:hint="eastAsia" w:ascii="仿宋_GB2312" w:hAnsi="仿宋_GB2312" w:eastAsia="仿宋_GB2312" w:cs="仿宋_GB2312"/>
                <w:spacing w:val="-8"/>
                <w:sz w:val="21"/>
                <w:szCs w:val="21"/>
                <w:lang w:val="en-US" w:eastAsia="zh-CN"/>
              </w:rPr>
              <w:t>cm</w:t>
            </w:r>
            <w:r>
              <w:rPr>
                <w:rFonts w:hint="eastAsia" w:ascii="仿宋_GB2312" w:hAnsi="仿宋_GB2312" w:eastAsia="仿宋_GB2312" w:cs="仿宋_GB2312"/>
                <w:spacing w:val="-8"/>
                <w:sz w:val="21"/>
                <w:szCs w:val="21"/>
                <w:vertAlign w:val="superscript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pacing w:val="-8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48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00D7D35F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sz w:val="21"/>
                <w:szCs w:val="21"/>
              </w:rPr>
              <w:t>可</w:t>
            </w: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spacing w:val="-2"/>
                <w:sz w:val="21"/>
                <w:szCs w:val="21"/>
              </w:rPr>
              <w:t>溶性固形物</w:t>
            </w:r>
            <w:r>
              <w:rPr>
                <w:rFonts w:hint="eastAsia" w:ascii="仿宋_GB2312" w:hAnsi="仿宋_GB2312" w:eastAsia="仿宋_GB2312" w:cs="仿宋_GB2312"/>
                <w:spacing w:val="-10"/>
                <w:sz w:val="21"/>
                <w:szCs w:val="21"/>
              </w:rPr>
              <w:t>(%)</w:t>
            </w: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0AC6D74A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position w:val="15"/>
                <w:sz w:val="21"/>
                <w:szCs w:val="21"/>
              </w:rPr>
              <w:t>出汁率</w:t>
            </w:r>
            <w:r>
              <w:rPr>
                <w:rFonts w:hint="eastAsia" w:ascii="仿宋_GB2312" w:hAnsi="仿宋_GB2312" w:eastAsia="仿宋_GB2312" w:cs="仿宋_GB2312"/>
                <w:spacing w:val="-6"/>
                <w:position w:val="15"/>
                <w:sz w:val="21"/>
                <w:szCs w:val="21"/>
                <w:lang w:eastAsia="zh-CN"/>
              </w:rPr>
              <w:t>(%)</w:t>
            </w:r>
          </w:p>
        </w:tc>
        <w:tc>
          <w:tcPr>
            <w:tcW w:w="56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490F8C0A">
            <w:pPr>
              <w:pStyle w:val="5"/>
              <w:spacing w:beforeLines="0" w:afterLines="0" w:line="560" w:lineRule="exact"/>
              <w:jc w:val="both"/>
              <w:rPr>
                <w:rFonts w:hint="eastAsia" w:ascii="仿宋_GB2312" w:hAnsi="仿宋_GB2312" w:eastAsia="仿宋_GB2312" w:cs="仿宋_GB2312"/>
                <w:spacing w:val="-6"/>
                <w:position w:val="15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position w:val="15"/>
                <w:sz w:val="21"/>
                <w:szCs w:val="21"/>
                <w:lang w:eastAsia="zh-CN"/>
              </w:rPr>
              <w:t>风味</w:t>
            </w:r>
          </w:p>
        </w:tc>
      </w:tr>
      <w:tr w14:paraId="0C2E0C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1" w:hRule="atLeast"/>
        </w:trPr>
        <w:tc>
          <w:tcPr>
            <w:tcW w:w="864" w:type="dxa"/>
            <w:tcBorders>
              <w:top w:val="single" w:color="000000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49EA0D07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sz w:val="21"/>
                <w:szCs w:val="21"/>
                <w:lang w:val="en"/>
              </w:rPr>
              <w:t>洛石榴1号</w:t>
            </w:r>
          </w:p>
        </w:tc>
        <w:tc>
          <w:tcPr>
            <w:tcW w:w="769" w:type="dxa"/>
            <w:tcBorders>
              <w:top w:val="single" w:color="000000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63EACB2D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1"/>
                <w:szCs w:val="21"/>
              </w:rPr>
              <w:t>9-</w:t>
            </w:r>
            <w:r>
              <w:rPr>
                <w:rFonts w:hint="eastAsia" w:ascii="仿宋_GB2312" w:hAnsi="仿宋_GB2312" w:eastAsia="仿宋_GB2312" w:cs="仿宋_GB2312"/>
                <w:spacing w:val="-5"/>
                <w:sz w:val="21"/>
                <w:szCs w:val="21"/>
                <w:lang w:eastAsia="zh-CN"/>
              </w:rPr>
              <w:t>30</w:t>
            </w:r>
          </w:p>
        </w:tc>
        <w:tc>
          <w:tcPr>
            <w:tcW w:w="780" w:type="dxa"/>
            <w:tcBorders>
              <w:top w:val="single" w:color="000000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38C36D86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1"/>
                <w:szCs w:val="21"/>
                <w:lang w:eastAsia="zh-CN"/>
              </w:rPr>
              <w:t>510</w:t>
            </w:r>
          </w:p>
        </w:tc>
        <w:tc>
          <w:tcPr>
            <w:tcW w:w="495" w:type="dxa"/>
            <w:tcBorders>
              <w:top w:val="single" w:color="000000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33875E9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8"/>
                <w:sz w:val="21"/>
                <w:szCs w:val="21"/>
              </w:rPr>
              <w:t>近圆</w:t>
            </w:r>
          </w:p>
        </w:tc>
        <w:tc>
          <w:tcPr>
            <w:tcW w:w="443" w:type="dxa"/>
            <w:tcBorders>
              <w:top w:val="single" w:color="000000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3059AE4A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sz w:val="21"/>
                <w:szCs w:val="21"/>
                <w:lang w:eastAsia="zh-CN"/>
              </w:rPr>
              <w:t>黄</w:t>
            </w:r>
            <w:r>
              <w:rPr>
                <w:rFonts w:hint="eastAsia" w:ascii="仿宋_GB2312" w:hAnsi="仿宋_GB2312" w:eastAsia="仿宋_GB2312" w:cs="仿宋_GB2312"/>
                <w:spacing w:val="-2"/>
                <w:sz w:val="21"/>
                <w:szCs w:val="21"/>
              </w:rPr>
              <w:t>红</w:t>
            </w:r>
          </w:p>
        </w:tc>
        <w:tc>
          <w:tcPr>
            <w:tcW w:w="495" w:type="dxa"/>
            <w:tcBorders>
              <w:top w:val="single" w:color="000000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78C1E40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sz w:val="21"/>
                <w:szCs w:val="21"/>
                <w:lang w:eastAsia="zh-CN"/>
              </w:rPr>
              <w:t>4.82</w:t>
            </w:r>
          </w:p>
        </w:tc>
        <w:tc>
          <w:tcPr>
            <w:tcW w:w="822" w:type="dxa"/>
            <w:tcBorders>
              <w:top w:val="single" w:color="000000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36057FAE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1"/>
                <w:szCs w:val="21"/>
              </w:rPr>
              <w:t>5</w:t>
            </w:r>
            <w:r>
              <w:rPr>
                <w:rFonts w:hint="eastAsia" w:ascii="仿宋_GB2312" w:hAnsi="仿宋_GB2312" w:eastAsia="仿宋_GB2312" w:cs="仿宋_GB2312"/>
                <w:spacing w:val="-3"/>
                <w:sz w:val="21"/>
                <w:szCs w:val="21"/>
                <w:lang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spacing w:val="-3"/>
                <w:sz w:val="21"/>
                <w:szCs w:val="21"/>
              </w:rPr>
              <w:t>.0</w:t>
            </w:r>
          </w:p>
        </w:tc>
        <w:tc>
          <w:tcPr>
            <w:tcW w:w="1044" w:type="dxa"/>
            <w:tcBorders>
              <w:top w:val="single" w:color="000000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77E82174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1"/>
                <w:szCs w:val="21"/>
                <w:lang w:val="en-US" w:eastAsia="zh-CN"/>
              </w:rPr>
              <w:t>1.35</w:t>
            </w:r>
          </w:p>
        </w:tc>
        <w:tc>
          <w:tcPr>
            <w:tcW w:w="1486" w:type="dxa"/>
            <w:tcBorders>
              <w:top w:val="single" w:color="000000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E0FDFDF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1"/>
                <w:szCs w:val="21"/>
              </w:rPr>
              <w:t>16.</w:t>
            </w:r>
            <w:r>
              <w:rPr>
                <w:rFonts w:hint="eastAsia" w:ascii="仿宋_GB2312" w:hAnsi="仿宋_GB2312" w:eastAsia="仿宋_GB2312" w:cs="仿宋_GB2312"/>
                <w:spacing w:val="-5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1128" w:type="dxa"/>
            <w:tcBorders>
              <w:top w:val="single" w:color="000000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FBAE138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1"/>
                <w:szCs w:val="21"/>
              </w:rPr>
              <w:t>85</w:t>
            </w:r>
          </w:p>
        </w:tc>
        <w:tc>
          <w:tcPr>
            <w:tcW w:w="569" w:type="dxa"/>
            <w:tcBorders>
              <w:top w:val="single" w:color="000000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3074F304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甜</w:t>
            </w:r>
          </w:p>
        </w:tc>
      </w:tr>
      <w:tr w14:paraId="133969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atLeast"/>
        </w:trPr>
        <w:tc>
          <w:tcPr>
            <w:tcW w:w="864" w:type="dxa"/>
            <w:tcBorders>
              <w:top w:val="nil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4F7A3E52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1"/>
                <w:szCs w:val="21"/>
              </w:rPr>
              <w:t>突尼斯</w:t>
            </w:r>
          </w:p>
        </w:tc>
        <w:tc>
          <w:tcPr>
            <w:tcW w:w="769" w:type="dxa"/>
            <w:tcBorders>
              <w:top w:val="nil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47E1C199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1"/>
                <w:szCs w:val="21"/>
              </w:rPr>
              <w:t>9-28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63A3FE97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sz w:val="21"/>
                <w:szCs w:val="21"/>
              </w:rPr>
              <w:t>435</w:t>
            </w:r>
          </w:p>
        </w:tc>
        <w:tc>
          <w:tcPr>
            <w:tcW w:w="495" w:type="dxa"/>
            <w:tcBorders>
              <w:top w:val="nil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79459D62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8"/>
                <w:sz w:val="21"/>
                <w:szCs w:val="21"/>
                <w:lang w:eastAsia="zh-CN"/>
              </w:rPr>
              <w:t>椭</w:t>
            </w:r>
            <w:r>
              <w:rPr>
                <w:rFonts w:hint="eastAsia" w:ascii="仿宋_GB2312" w:hAnsi="仿宋_GB2312" w:eastAsia="仿宋_GB2312" w:cs="仿宋_GB2312"/>
                <w:spacing w:val="8"/>
                <w:sz w:val="21"/>
                <w:szCs w:val="21"/>
              </w:rPr>
              <w:t>圆</w:t>
            </w:r>
          </w:p>
        </w:tc>
        <w:tc>
          <w:tcPr>
            <w:tcW w:w="443" w:type="dxa"/>
            <w:tcBorders>
              <w:top w:val="nil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31368EF1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sz w:val="21"/>
                <w:szCs w:val="21"/>
                <w:lang w:eastAsia="zh-CN"/>
              </w:rPr>
              <w:t>粉</w:t>
            </w:r>
            <w:r>
              <w:rPr>
                <w:rFonts w:hint="eastAsia" w:ascii="仿宋_GB2312" w:hAnsi="仿宋_GB2312" w:eastAsia="仿宋_GB2312" w:cs="仿宋_GB2312"/>
                <w:spacing w:val="-2"/>
                <w:sz w:val="21"/>
                <w:szCs w:val="21"/>
              </w:rPr>
              <w:t>红</w:t>
            </w:r>
          </w:p>
        </w:tc>
        <w:tc>
          <w:tcPr>
            <w:tcW w:w="495" w:type="dxa"/>
            <w:tcBorders>
              <w:top w:val="nil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4B27E89D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sz w:val="21"/>
                <w:szCs w:val="21"/>
                <w:lang w:eastAsia="zh-CN"/>
              </w:rPr>
              <w:t>3.38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48E36500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1"/>
                <w:szCs w:val="21"/>
              </w:rPr>
              <w:t>53.2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5BFE009E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1"/>
                <w:szCs w:val="21"/>
                <w:lang w:val="en-US" w:eastAsia="zh-CN"/>
              </w:rPr>
              <w:t>1.73</w:t>
            </w:r>
          </w:p>
        </w:tc>
        <w:tc>
          <w:tcPr>
            <w:tcW w:w="1486" w:type="dxa"/>
            <w:tcBorders>
              <w:top w:val="nil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1FCD4388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sz w:val="21"/>
                <w:szCs w:val="21"/>
              </w:rPr>
              <w:t>15.2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2D32BC10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1"/>
                <w:szCs w:val="21"/>
              </w:rPr>
              <w:t>81</w:t>
            </w:r>
          </w:p>
        </w:tc>
        <w:tc>
          <w:tcPr>
            <w:tcW w:w="569" w:type="dxa"/>
            <w:tcBorders>
              <w:top w:val="nil"/>
              <w:left w:val="nil"/>
              <w:bottom w:val="single" w:color="000000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6A74076B">
            <w:pPr>
              <w:pStyle w:val="5"/>
              <w:spacing w:beforeLines="0" w:afterLines="0" w:line="560" w:lineRule="exact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甜</w:t>
            </w:r>
          </w:p>
        </w:tc>
      </w:tr>
    </w:tbl>
    <w:p w14:paraId="3D3A80BF">
      <w:pPr>
        <w:numPr>
          <w:ilvl w:val="0"/>
          <w:numId w:val="0"/>
        </w:numPr>
        <w:spacing w:line="520" w:lineRule="exact"/>
        <w:ind w:firstLine="521"/>
        <w:jc w:val="center"/>
        <w:rPr>
          <w:rFonts w:hint="default" w:ascii="楷体" w:hAnsi="楷体" w:eastAsia="楷体" w:cs="楷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</w:p>
    <w:p w14:paraId="4A3EAB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/>
        <w:jc w:val="center"/>
        <w:textAlignment w:val="auto"/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t>表2 ‘</w:t>
      </w: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" w:eastAsia="zh-CN"/>
        </w:rPr>
        <w:t>洛石榴1号</w:t>
      </w:r>
      <w:r>
        <w:rPr>
          <w:rFonts w:hint="eastAsia" w:ascii="楷体" w:hAnsi="楷体" w:eastAsia="楷体" w:cs="楷体"/>
          <w:b w:val="0"/>
          <w:bCs/>
          <w:color w:val="314643"/>
          <w:sz w:val="28"/>
          <w:szCs w:val="28"/>
          <w:shd w:val="clear" w:color="auto" w:fill="FFFFFF"/>
          <w:lang w:val="en-US" w:eastAsia="zh-CN"/>
        </w:rPr>
        <w:t>’软籽石榴与‘突尼斯软籽’石榴果实性状对比</w:t>
      </w:r>
    </w:p>
    <w:p w14:paraId="2E2B7FE4">
      <w:pPr>
        <w:numPr>
          <w:ilvl w:val="0"/>
          <w:numId w:val="0"/>
        </w:numPr>
        <w:spacing w:line="520" w:lineRule="exact"/>
        <w:ind w:firstLine="521"/>
        <w:jc w:val="center"/>
        <w:rPr>
          <w:rFonts w:hint="default" w:ascii="楷体" w:hAnsi="楷体" w:eastAsia="楷体" w:cs="楷体"/>
          <w:b w:val="0"/>
          <w:bCs/>
          <w:color w:val="314643"/>
          <w:sz w:val="32"/>
          <w:szCs w:val="32"/>
          <w:shd w:val="clear" w:color="auto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66214A"/>
    <w:multiLevelType w:val="singleLevel"/>
    <w:tmpl w:val="CA66214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2A7546"/>
    <w:rsid w:val="028E13EB"/>
    <w:rsid w:val="09837CAA"/>
    <w:rsid w:val="0CF90B1C"/>
    <w:rsid w:val="0D4F4ABE"/>
    <w:rsid w:val="0EFB4523"/>
    <w:rsid w:val="1DB61F0C"/>
    <w:rsid w:val="27A961FC"/>
    <w:rsid w:val="39F7512F"/>
    <w:rsid w:val="3AEE643E"/>
    <w:rsid w:val="3D4C01F7"/>
    <w:rsid w:val="4BA20973"/>
    <w:rsid w:val="4E294908"/>
    <w:rsid w:val="5C7D4A92"/>
    <w:rsid w:val="6383639C"/>
    <w:rsid w:val="639A428D"/>
    <w:rsid w:val="67F25F98"/>
    <w:rsid w:val="6CF748E0"/>
    <w:rsid w:val="6DA073BA"/>
    <w:rsid w:val="705A50E3"/>
    <w:rsid w:val="717645B6"/>
    <w:rsid w:val="747E420C"/>
    <w:rsid w:val="75EE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customStyle="1" w:styleId="5">
    <w:name w:val="Table Text"/>
    <w:basedOn w:val="1"/>
    <w:unhideWhenUsed/>
    <w:qFormat/>
    <w:uiPriority w:val="0"/>
    <w:pPr>
      <w:spacing w:beforeLines="0" w:afterLines="0"/>
    </w:pPr>
    <w:rPr>
      <w:rFonts w:hint="eastAsia" w:ascii="宋体" w:hAnsi="宋体" w:eastAsia="宋体" w:cs="宋体"/>
      <w:sz w:val="19"/>
      <w:szCs w:val="1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1039</Words>
  <Characters>1193</Characters>
  <Lines>0</Lines>
  <Paragraphs>0</Paragraphs>
  <TotalTime>1</TotalTime>
  <ScaleCrop>false</ScaleCrop>
  <LinksUpToDate>false</LinksUpToDate>
  <CharactersWithSpaces>1217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2025-07-17T07:42:00Z</dcterms:created>
  <dc:creator>斑比</dc:creator>
  <cp:lastModifiedBy>斑比</cp:lastModifiedBy>
  <dcterms:modified xsi:type="dcterms:W3CDTF">2025-07-31T02:49:32Z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0CD5DA2E397843418C75AEBAD7228BCD_13</vt:lpwstr>
  </property>
  <property fmtid="{D5CDD505-2E9C-101B-9397-08002B2CF9AE}" pid="4" name="KSOTemplateDocerSaveRecord">
    <vt:lpwstr>eyJoZGlkIjoiNDZhZThjMjMxODFkZDRkZjkyNzU4YzIxMTFkNzBhNWUiLCJ1c2VySWQiOiIxMDU1MDI4NTk5In0=</vt:lpwstr>
  </property>
</Properties>
</file>